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CFAB" w14:textId="77777777" w:rsidR="005C7975" w:rsidRPr="005C7975" w:rsidRDefault="005C7975" w:rsidP="005C7975">
      <w:pPr>
        <w:jc w:val="center"/>
        <w:rPr>
          <w:b/>
          <w:bCs/>
        </w:rPr>
      </w:pPr>
      <w:r w:rsidRPr="005C7975">
        <w:rPr>
          <w:b/>
          <w:bCs/>
        </w:rPr>
        <w:t>PROPUESTA DE NOTICIA PARA PUBLICACIÓN WEB</w:t>
      </w:r>
    </w:p>
    <w:p w14:paraId="55199475" w14:textId="48CAA264" w:rsidR="005C7975" w:rsidRPr="005C7975" w:rsidRDefault="005C7975" w:rsidP="005C7975">
      <w:pPr>
        <w:jc w:val="both"/>
      </w:pPr>
    </w:p>
    <w:p w14:paraId="51613554" w14:textId="054B0569" w:rsidR="005C7975" w:rsidRPr="005C7975" w:rsidRDefault="005C7975" w:rsidP="005C7975">
      <w:pPr>
        <w:jc w:val="center"/>
        <w:rPr>
          <w:b/>
          <w:bCs/>
        </w:rPr>
      </w:pPr>
      <w:proofErr w:type="spellStart"/>
      <w:r w:rsidRPr="005C7975">
        <w:rPr>
          <w:b/>
          <w:bCs/>
        </w:rPr>
        <w:t>Gunvor</w:t>
      </w:r>
      <w:proofErr w:type="spellEnd"/>
      <w:r w:rsidRPr="005C7975">
        <w:rPr>
          <w:b/>
          <w:bCs/>
        </w:rPr>
        <w:t xml:space="preserve"> España </w:t>
      </w:r>
      <w:r>
        <w:rPr>
          <w:b/>
          <w:bCs/>
        </w:rPr>
        <w:t xml:space="preserve">recibe financiación para una nueva línea de producción de </w:t>
      </w:r>
      <w:r w:rsidRPr="005C7975">
        <w:rPr>
          <w:b/>
          <w:bCs/>
        </w:rPr>
        <w:t xml:space="preserve">biogás en </w:t>
      </w:r>
      <w:r>
        <w:rPr>
          <w:b/>
          <w:bCs/>
        </w:rPr>
        <w:t xml:space="preserve">su planta </w:t>
      </w:r>
      <w:r w:rsidRPr="005C7975">
        <w:rPr>
          <w:b/>
          <w:bCs/>
        </w:rPr>
        <w:t xml:space="preserve">Palos de la Frontera gracias al apoyo de la Unión Europea – </w:t>
      </w:r>
      <w:proofErr w:type="spellStart"/>
      <w:r w:rsidRPr="005C7975">
        <w:rPr>
          <w:b/>
          <w:bCs/>
        </w:rPr>
        <w:t>NextGenerationEU</w:t>
      </w:r>
      <w:proofErr w:type="spellEnd"/>
    </w:p>
    <w:p w14:paraId="1947B5C7" w14:textId="55C3E348" w:rsidR="005C7975" w:rsidRPr="005C7975" w:rsidRDefault="005C7975" w:rsidP="005C7975">
      <w:pPr>
        <w:jc w:val="both"/>
      </w:pPr>
      <w:r w:rsidRPr="005C7975">
        <w:t xml:space="preserve">El proyecto ha sido cofinanciado por la Unión Europea en el marco del </w:t>
      </w:r>
      <w:r w:rsidRPr="005C7975">
        <w:rPr>
          <w:b/>
          <w:bCs/>
        </w:rPr>
        <w:t>Plan de Recuperación, Transformación y Resiliencia (PRTR)</w:t>
      </w:r>
      <w:r w:rsidRPr="005C7975">
        <w:t xml:space="preserve"> a través del </w:t>
      </w:r>
      <w:r w:rsidRPr="005C7975">
        <w:rPr>
          <w:b/>
          <w:bCs/>
        </w:rPr>
        <w:t>Programa de Incentivos a Proyectos Singulares de Instalaciones de Biogás</w:t>
      </w:r>
      <w:r w:rsidRPr="005C7975">
        <w:t xml:space="preserve">, gestionado por el </w:t>
      </w:r>
      <w:r w:rsidRPr="005C7975">
        <w:rPr>
          <w:b/>
          <w:bCs/>
        </w:rPr>
        <w:t>IDAE</w:t>
      </w:r>
      <w:r w:rsidRPr="005C7975">
        <w:t xml:space="preserve">, con una ayuda concedida de </w:t>
      </w:r>
      <w:r w:rsidRPr="005C7975">
        <w:rPr>
          <w:b/>
          <w:bCs/>
        </w:rPr>
        <w:t>244.121,72 €</w:t>
      </w:r>
      <w:r w:rsidRPr="005C7975">
        <w:t>.</w:t>
      </w:r>
    </w:p>
    <w:p w14:paraId="212E63E0" w14:textId="28BEDB72" w:rsidR="005C7975" w:rsidRPr="005C7975" w:rsidRDefault="005C7975" w:rsidP="005C7975">
      <w:pPr>
        <w:jc w:val="both"/>
      </w:pPr>
      <w:r w:rsidRPr="005C7975">
        <w:t xml:space="preserve">Esta actuación forma parte del compromiso de </w:t>
      </w:r>
      <w:proofErr w:type="spellStart"/>
      <w:r w:rsidRPr="005C7975">
        <w:t>Gunvor</w:t>
      </w:r>
      <w:proofErr w:type="spellEnd"/>
      <w:r w:rsidRPr="005C7975">
        <w:t xml:space="preserve"> con la transición energética, la economía circular y la reducción de emisiones, impulsando tecnologías limpias dentro de su proceso industrial.</w:t>
      </w:r>
    </w:p>
    <w:p w14:paraId="0BBA4658" w14:textId="77777777" w:rsidR="005C7975" w:rsidRPr="005C7975" w:rsidRDefault="005C7975" w:rsidP="005C7975">
      <w:pPr>
        <w:jc w:val="center"/>
        <w:rPr>
          <w:b/>
          <w:bCs/>
        </w:rPr>
      </w:pPr>
      <w:r w:rsidRPr="005C7975">
        <w:rPr>
          <w:b/>
          <w:bCs/>
        </w:rPr>
        <w:t>Un proyecto estratégico para la sostenibilidad industrial</w:t>
      </w:r>
    </w:p>
    <w:p w14:paraId="6FF676D8" w14:textId="7882D34B" w:rsidR="005C7975" w:rsidRDefault="005C7975" w:rsidP="005C7975">
      <w:pPr>
        <w:jc w:val="both"/>
      </w:pPr>
      <w:r>
        <w:t xml:space="preserve">La actuación realizada por </w:t>
      </w:r>
      <w:proofErr w:type="spellStart"/>
      <w:r>
        <w:t>Gunvor</w:t>
      </w:r>
      <w:proofErr w:type="spellEnd"/>
      <w:r>
        <w:t xml:space="preserve"> ha consistido, en primer lugar, en la implantación de una nueva instalación de producción de biogás, donde la planta genera biogás a partir de 42.600 toneladas anuales de aguas residuales industriales procedentes del proceso de fabricación de biocombustibles. Con una capacidad de producción de 540 Nm³/h, esta instalación permite alcanzar una generación estimada de 32 GWh anuales. En segundo lugar, se ha desarrollado un sistema de aprovechamiento energético del biogás para la producción de calor, mediante el cual el biogás generado se utiliza en una caldera de vapor de alta eficiencia, facilitando la sustitución de combustibles fósiles y contribuyendo a la reducción de la huella de carbono del proceso industrial. Por último, se ha incorporado un tratamiento y valorización del digerido, donde los fangos resultantes del proceso se someten a un sistema avanzado de separación sólido</w:t>
      </w:r>
      <w:r>
        <w:rPr>
          <w:rFonts w:ascii="Cambria Math" w:hAnsi="Cambria Math" w:cs="Cambria Math"/>
        </w:rPr>
        <w:t>‑</w:t>
      </w:r>
      <w:r>
        <w:t>l</w:t>
      </w:r>
      <w:r>
        <w:rPr>
          <w:rFonts w:ascii="Aptos" w:hAnsi="Aptos" w:cs="Aptos"/>
        </w:rPr>
        <w:t>í</w:t>
      </w:r>
      <w:r>
        <w:t xml:space="preserve">quido, dando lugar a un biofertilizante de alta calidad. </w:t>
      </w:r>
      <w:proofErr w:type="spellStart"/>
      <w:r>
        <w:t>Gunvor</w:t>
      </w:r>
      <w:proofErr w:type="spellEnd"/>
      <w:r>
        <w:t xml:space="preserve"> cuenta ya con acuerdos comerciales estables para su comercialización, consolidando así un modelo plenamente alineado con los principios de economía circular.</w:t>
      </w:r>
    </w:p>
    <w:p w14:paraId="5D3A3CAB" w14:textId="77777777" w:rsidR="005C7975" w:rsidRDefault="005C7975" w:rsidP="005C7975">
      <w:pPr>
        <w:jc w:val="both"/>
      </w:pPr>
      <w:r>
        <w:t>En cuanto a los objetivos del proyecto, la iniciativa persigue reducir los costes energéticos y de gestión de residuos de la planta, disminuir la dependencia de combustibles fósiles mediante el autoconsumo energético, transformar residuos industriales en recursos con valor añadido, reducir de forma significativa las emisiones generadas por los procesos productivos y, además, impulsar el desarrollo industrial sostenible en Andalucía.</w:t>
      </w:r>
    </w:p>
    <w:p w14:paraId="1E36643C" w14:textId="77777777" w:rsidR="005C7975" w:rsidRDefault="005C7975" w:rsidP="005C7975">
      <w:pPr>
        <w:jc w:val="both"/>
      </w:pPr>
      <w:r>
        <w:t>Respecto a los beneficios ambientales y socioeconómicos, el proyecto permite revalorizar residuos internos sin necesidad de transporte externo, generar energía renovable equivalente al consumo anual de miles de hogares y reducir las emisiones derivadas del uso de combustibles tradicionales. Asimismo, ha contribuido a la creación de empleo tanto directo como indirecto —con más de 40 puestos directos y alrededor de 35 indirectos durante la fase de construcción— y ha supuesto un notable impulso económico y tecnológico en el entorno industrial de Palos de la Frontera.</w:t>
      </w:r>
    </w:p>
    <w:p w14:paraId="3A155B53" w14:textId="77777777" w:rsidR="005C7975" w:rsidRDefault="005C7975" w:rsidP="005C7975">
      <w:pPr>
        <w:jc w:val="both"/>
      </w:pPr>
      <w:r>
        <w:t xml:space="preserve">Este proyecto representa también un avance clave en la estrategia de transición energética de </w:t>
      </w:r>
      <w:proofErr w:type="spellStart"/>
      <w:r>
        <w:t>Gunvor</w:t>
      </w:r>
      <w:proofErr w:type="spellEnd"/>
      <w:r>
        <w:t xml:space="preserve">. La compañía reafirma su compromiso con la descarbonización de sus procesos, la integración de energías renovables en su actividad industrial, la economía circular y la valorización completa de sus subproductos, así como con la contribución </w:t>
      </w:r>
      <w:r>
        <w:lastRenderedPageBreak/>
        <w:t xml:space="preserve">activa a los objetivos nacionales y europeos en materia de energía y clima. </w:t>
      </w:r>
      <w:proofErr w:type="spellStart"/>
      <w:r>
        <w:t>Gunvor</w:t>
      </w:r>
      <w:proofErr w:type="spellEnd"/>
      <w:r>
        <w:t xml:space="preserve"> continuará desarrollando iniciativas que permitan evolucionar hacia un modelo industrial cada vez más sostenible, eficiente y competitivo.</w:t>
      </w:r>
    </w:p>
    <w:p w14:paraId="1967017E" w14:textId="3DFF279D" w:rsidR="005C7975" w:rsidRPr="005C7975" w:rsidRDefault="005C7975" w:rsidP="005C7975">
      <w:pPr>
        <w:jc w:val="both"/>
      </w:pPr>
      <w:r>
        <w:t>Finalmente, se vuelve a reiterar que e</w:t>
      </w:r>
      <w:r w:rsidRPr="005C7975">
        <w:t xml:space="preserve">ste proyecto ha sido financiado por la Unión Europea – </w:t>
      </w:r>
      <w:proofErr w:type="spellStart"/>
      <w:r w:rsidRPr="005C7975">
        <w:rPr>
          <w:b/>
          <w:bCs/>
        </w:rPr>
        <w:t>NextGenerationEU</w:t>
      </w:r>
      <w:proofErr w:type="spellEnd"/>
      <w:r w:rsidRPr="005C7975">
        <w:t xml:space="preserve">, a través del Plan de Recuperación, Transformación y Resiliencia (PRTR), mediante el </w:t>
      </w:r>
      <w:r w:rsidRPr="005C7975">
        <w:rPr>
          <w:b/>
          <w:bCs/>
        </w:rPr>
        <w:t>Programa de Incentivos a Proyectos Singulares de Instalaciones de Biogás</w:t>
      </w:r>
      <w:r w:rsidRPr="005C7975">
        <w:t xml:space="preserve"> del </w:t>
      </w:r>
      <w:r w:rsidRPr="005C7975">
        <w:rPr>
          <w:b/>
          <w:bCs/>
        </w:rPr>
        <w:t>IDAE</w:t>
      </w:r>
      <w:r w:rsidRPr="005C7975">
        <w:t>.</w:t>
      </w:r>
    </w:p>
    <w:p w14:paraId="163052D4" w14:textId="4164ABF2" w:rsidR="008279D6" w:rsidRDefault="008279D6" w:rsidP="005C7975">
      <w:pPr>
        <w:jc w:val="both"/>
      </w:pPr>
    </w:p>
    <w:sectPr w:rsidR="008279D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5902" w14:textId="77777777" w:rsidR="005C7975" w:rsidRDefault="005C7975" w:rsidP="005C7975">
      <w:pPr>
        <w:spacing w:after="0" w:line="240" w:lineRule="auto"/>
      </w:pPr>
      <w:r>
        <w:separator/>
      </w:r>
    </w:p>
  </w:endnote>
  <w:endnote w:type="continuationSeparator" w:id="0">
    <w:p w14:paraId="3E0B7E5F" w14:textId="77777777" w:rsidR="005C7975" w:rsidRDefault="005C7975" w:rsidP="005C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89FD" w14:textId="77777777" w:rsidR="005C7975" w:rsidRDefault="005C7975" w:rsidP="005C7975">
      <w:pPr>
        <w:spacing w:after="0" w:line="240" w:lineRule="auto"/>
      </w:pPr>
      <w:r>
        <w:separator/>
      </w:r>
    </w:p>
  </w:footnote>
  <w:footnote w:type="continuationSeparator" w:id="0">
    <w:p w14:paraId="72B42723" w14:textId="77777777" w:rsidR="005C7975" w:rsidRDefault="005C7975" w:rsidP="005C7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FC37" w14:textId="0AC00C84" w:rsidR="005C7975" w:rsidRDefault="005C7975">
    <w:pPr>
      <w:pStyle w:val="Encabezado"/>
    </w:pPr>
    <w:r w:rsidRPr="005C7975">
      <w:drawing>
        <wp:inline distT="0" distB="0" distL="0" distR="0" wp14:anchorId="04ACCED1" wp14:editId="76A271E2">
          <wp:extent cx="5400040" cy="302260"/>
          <wp:effectExtent l="0" t="0" r="0" b="2540"/>
          <wp:docPr id="10939598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59814" name=""/>
                  <pic:cNvPicPr/>
                </pic:nvPicPr>
                <pic:blipFill>
                  <a:blip r:embed="rId1"/>
                  <a:stretch>
                    <a:fillRect/>
                  </a:stretch>
                </pic:blipFill>
                <pic:spPr>
                  <a:xfrm>
                    <a:off x="0" y="0"/>
                    <a:ext cx="5400040" cy="302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F73"/>
    <w:multiLevelType w:val="multilevel"/>
    <w:tmpl w:val="A7C2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258"/>
    <w:multiLevelType w:val="multilevel"/>
    <w:tmpl w:val="2A68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37CD8"/>
    <w:multiLevelType w:val="multilevel"/>
    <w:tmpl w:val="84BC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07163"/>
    <w:multiLevelType w:val="multilevel"/>
    <w:tmpl w:val="8518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DF03AA"/>
    <w:multiLevelType w:val="multilevel"/>
    <w:tmpl w:val="7522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765548"/>
    <w:multiLevelType w:val="multilevel"/>
    <w:tmpl w:val="DC6C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266717">
    <w:abstractNumId w:val="4"/>
  </w:num>
  <w:num w:numId="2" w16cid:durableId="2040887021">
    <w:abstractNumId w:val="5"/>
  </w:num>
  <w:num w:numId="3" w16cid:durableId="1822425993">
    <w:abstractNumId w:val="1"/>
  </w:num>
  <w:num w:numId="4" w16cid:durableId="1835484859">
    <w:abstractNumId w:val="0"/>
  </w:num>
  <w:num w:numId="5" w16cid:durableId="1328361512">
    <w:abstractNumId w:val="3"/>
  </w:num>
  <w:num w:numId="6" w16cid:durableId="302126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75"/>
    <w:rsid w:val="004A3F43"/>
    <w:rsid w:val="005C7975"/>
    <w:rsid w:val="008279D6"/>
    <w:rsid w:val="00C162B8"/>
    <w:rsid w:val="00DC615D"/>
    <w:rsid w:val="00DD6F87"/>
    <w:rsid w:val="00F339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7D01"/>
  <w15:chartTrackingRefBased/>
  <w15:docId w15:val="{F07C42AB-0A90-49E6-88BB-F0B0BE02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7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7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79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79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79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79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79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79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79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79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79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79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79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79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79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79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79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7975"/>
    <w:rPr>
      <w:rFonts w:eastAsiaTheme="majorEastAsia" w:cstheme="majorBidi"/>
      <w:color w:val="272727" w:themeColor="text1" w:themeTint="D8"/>
    </w:rPr>
  </w:style>
  <w:style w:type="paragraph" w:styleId="Ttulo">
    <w:name w:val="Title"/>
    <w:basedOn w:val="Normal"/>
    <w:next w:val="Normal"/>
    <w:link w:val="TtuloCar"/>
    <w:uiPriority w:val="10"/>
    <w:qFormat/>
    <w:rsid w:val="005C7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79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79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79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7975"/>
    <w:pPr>
      <w:spacing w:before="160"/>
      <w:jc w:val="center"/>
    </w:pPr>
    <w:rPr>
      <w:i/>
      <w:iCs/>
      <w:color w:val="404040" w:themeColor="text1" w:themeTint="BF"/>
    </w:rPr>
  </w:style>
  <w:style w:type="character" w:customStyle="1" w:styleId="CitaCar">
    <w:name w:val="Cita Car"/>
    <w:basedOn w:val="Fuentedeprrafopredeter"/>
    <w:link w:val="Cita"/>
    <w:uiPriority w:val="29"/>
    <w:rsid w:val="005C7975"/>
    <w:rPr>
      <w:i/>
      <w:iCs/>
      <w:color w:val="404040" w:themeColor="text1" w:themeTint="BF"/>
    </w:rPr>
  </w:style>
  <w:style w:type="paragraph" w:styleId="Prrafodelista">
    <w:name w:val="List Paragraph"/>
    <w:basedOn w:val="Normal"/>
    <w:uiPriority w:val="34"/>
    <w:qFormat/>
    <w:rsid w:val="005C7975"/>
    <w:pPr>
      <w:ind w:left="720"/>
      <w:contextualSpacing/>
    </w:pPr>
  </w:style>
  <w:style w:type="character" w:styleId="nfasisintenso">
    <w:name w:val="Intense Emphasis"/>
    <w:basedOn w:val="Fuentedeprrafopredeter"/>
    <w:uiPriority w:val="21"/>
    <w:qFormat/>
    <w:rsid w:val="005C7975"/>
    <w:rPr>
      <w:i/>
      <w:iCs/>
      <w:color w:val="0F4761" w:themeColor="accent1" w:themeShade="BF"/>
    </w:rPr>
  </w:style>
  <w:style w:type="paragraph" w:styleId="Citadestacada">
    <w:name w:val="Intense Quote"/>
    <w:basedOn w:val="Normal"/>
    <w:next w:val="Normal"/>
    <w:link w:val="CitadestacadaCar"/>
    <w:uiPriority w:val="30"/>
    <w:qFormat/>
    <w:rsid w:val="005C7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7975"/>
    <w:rPr>
      <w:i/>
      <w:iCs/>
      <w:color w:val="0F4761" w:themeColor="accent1" w:themeShade="BF"/>
    </w:rPr>
  </w:style>
  <w:style w:type="character" w:styleId="Referenciaintensa">
    <w:name w:val="Intense Reference"/>
    <w:basedOn w:val="Fuentedeprrafopredeter"/>
    <w:uiPriority w:val="32"/>
    <w:qFormat/>
    <w:rsid w:val="005C7975"/>
    <w:rPr>
      <w:b/>
      <w:bCs/>
      <w:smallCaps/>
      <w:color w:val="0F4761" w:themeColor="accent1" w:themeShade="BF"/>
      <w:spacing w:val="5"/>
    </w:rPr>
  </w:style>
  <w:style w:type="paragraph" w:styleId="Encabezado">
    <w:name w:val="header"/>
    <w:basedOn w:val="Normal"/>
    <w:link w:val="EncabezadoCar"/>
    <w:uiPriority w:val="99"/>
    <w:unhideWhenUsed/>
    <w:rsid w:val="005C79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7975"/>
  </w:style>
  <w:style w:type="paragraph" w:styleId="Piedepgina">
    <w:name w:val="footer"/>
    <w:basedOn w:val="Normal"/>
    <w:link w:val="PiedepginaCar"/>
    <w:uiPriority w:val="99"/>
    <w:unhideWhenUsed/>
    <w:rsid w:val="005C79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7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535</Words>
  <Characters>3211</Characters>
  <Application>Microsoft Office Word</Application>
  <DocSecurity>0</DocSecurity>
  <Lines>66</Lines>
  <Paragraphs>41</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Gomez Garcia</dc:creator>
  <cp:keywords/>
  <dc:description/>
  <cp:lastModifiedBy>Eduardo Gomez Garcia</cp:lastModifiedBy>
  <cp:revision>1</cp:revision>
  <dcterms:created xsi:type="dcterms:W3CDTF">2026-01-20T12:09:00Z</dcterms:created>
  <dcterms:modified xsi:type="dcterms:W3CDTF">2026-01-20T12:18:00Z</dcterms:modified>
</cp:coreProperties>
</file>